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This is interpreted into machine code.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  <w:br/>
        <w:t xml:space="preserve"> Machine code was the language of early programs, written in the instruction set of the particular machine, often in binary notation.</w:t>
        <w:br/>
        <w:t>It is usually easier to code in "high-level" languages than in "low-level" ones.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