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Many programmers use forms of Agile software development where the various stages of formal software development are more integrated together into short cycles that take a few weeks rather than years.</w:t>
        <w:br/>
        <w:t>Transpiling on the other hand, takes the source-code from a high-level programming language and converts it into bytecode.</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One approach popular for requirements analysis is Use Case analysis.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applications use a mix of several languages in their construction and use.</w:t>
        <w:br/>
        <w:t>Trade-offs from this ideal involve finding enough programmers who know the language to build a team, the availability of compilers for that language, and the efficiency with which programs written in a given language execute.</w:t>
        <w:br/>
        <w:t>There exist a lot of different approaches for each of those tasks.</w:t>
        <w:br/>
        <w:t>By the late 1960s, data storage devices and computer terminals became inexpensive enough that programs could be created by typing directly into the computers.</w:t>
        <w:br/>
        <w:t xml:space="preserve"> Allen Downey, in his book How To Think Like A Computer Scientist, writes:</w:t>
        <w:br/>
        <w:t xml:space="preserve"> Many computer languages provide a mechanism to call functions provided by shared libraries.</w:t>
        <w:br/>
        <w:t>Compilers harnessed the power of computers to make programming easier by allowing programmers to specify calculations by entering a formula using infix notation.</w:t>
        <w:br/>
        <w:t>However, because an assembly language is little more than a different notation for a machine language,  two machines with different instruction sets also have different assembly languages.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