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Expert programmers are familiar with a variety of well-established algorithms and their respective complexities and use this knowledge to choose algorithms that are best suited to the circumstances.</w:t>
        <w:br/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>It affects the aspects of quality above, including portability, usability and most importantly maintainability.</w:t>
        <w:br/>
        <w:t>Use of a static code analysis tool can help detect some possible problems.</w:t>
        <w:br/>
        <w:t>As early as the 9th century, a programmable music sequencer was invented by the Persian Banu Musa brothers, who described an automated mechanical flute player in the Book of Ingenious Devices.</w:t>
        <w:br/>
        <w:t>Relatedly, software engineering combines engineering techniques and principles with software development.</w:t>
        <w:br/>
        <w:t>Proficient programming thus usually requires expertise in several different subjects, including knowledge of the application domain, specialized algorithms, and formal logic.</w:t>
        <w:br/>
        <w:t>Unreadable code often leads to bugs, inefficiencies, and duplicated code.</w:t>
        <w:br/>
        <w:t>For this purpose, algorithms are classified into orders using so-called Big O notation, which expresses resource use, such as execution time or memory consumption, in terms of the size of an input.</w:t>
        <w:br/>
        <w:t>In the 9th century, the Arab mathematician Al-Kindi described a cryptographic algorithm for deciphering encrypted code, in A Manuscript on Deciphering Cryptographic Messages.</w:t>
        <w:br/>
        <w:t>Unreadable code often leads to bugs, inefficiencies, and duplicated code.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