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Integrated development environments (IDEs) aim to integrate all such help.</w:t>
        <w:br/>
        <w:t>Languages form an approximate spectrum from "low-level" to "high-level"; "low-level" languages are typically more machine-oriented and faster to execute, whereas "high-level" languages are more abstract and easier to use but execute less quickly.</w:t>
        <w:br/>
        <w:t>To produce machine code, the source code must either be compiled or transpiled.</w:t>
        <w:br/>
        <w:t>This can be a non-trivial task, for example as with parallel processes or some unusual software bugs.</w:t>
        <w:br/>
        <w:t>Scripting and breakpointing is also part of this process.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It affects the aspects of quality above, including portability, usability and most importantly maintainability.</w:t>
        <w:br/>
        <w:t>To produce machine code, the source code must either be compiled or transpiled.</w:t>
        <w:br/>
        <w:t>Also, specific user environment and usage history can make it difficult to reproduce the problem.</w:t>
        <w:br/>
        <w:t>The source code of a program is written in one or more languages that are intelligible to programmers, rather than machine code, which is directly executed by the central processing unit.</w:t>
        <w:br/>
        <w:t>Many applications use a mix of several languages in their construction and use.</w:t>
        <w:br/>
        <w:t xml:space="preserve"> Debugging is often done with IDEs. Standalone debuggers like GDB are also used, and these often provide less of a visual environment, usually using a command line.</w:t>
        <w:br/>
        <w:t xml:space="preserve"> Various visual programming languages have also been developed with the intent to resolve readability concerns by adopting non-traditional approaches to code structure and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