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Provided the functions in a library follow the appropriate run-time conventions (e.g., method of passing arguments), then these functions may be written in any other language.</w:t>
        <w:br/>
        <w:t>He gave the first description of cryptanalysis by frequency analysis, the earliest code-breaking algorithm.</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Integrated development environments (IDEs) aim to integrate all such help.</w:t>
        <w:br/>
        <w:t>There exist a lot of different approaches for each of those tasks.</w:t>
        <w:br/>
        <w:t xml:space="preserve"> It is very difficult to determine what are the most popular modern programming languages.</w:t>
        <w:br/>
        <w:t>As early as the 9th century, a programmable music sequencer was invented by the Persian Banu Musa brothers, who described an automated mechanical flute player in the Book of Ingenious Devices.</w:t>
        <w:br/>
        <w:t xml:space="preserve"> The academic field and the engineering practice of computer programming are both largely concerned with discovering and implementing the most efficient algorithms for a given class of problems.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