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When debugging the problem in a GUI, the programmer can try to skip some user interaction from the original problem description and check if remaining actions are sufficient for bugs to appear.</w:t>
        <w:br/>
        <w:t>Expert programmers are familiar with a variety of well-established algorithms and their respective complexities and use this knowledge to choose algorithms that are best suited to the circumstances.</w:t>
        <w:br/>
        <w:t>However, Charles Babbage had already written his first program for the Analytical Engine in 1837.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Scripting and breakpointing is also part of this process.</w:t>
        <w:br/>
        <w:t>The choice of language used is subject to many considerations, such as company policy, suitability to task, availability of third-party packages, or individual preference.</w:t>
        <w:br/>
        <w:t>Trial-and-error/divide-and-conquer is needed: the programmer will try to remove some parts of the original test case and check if the problem still exists.</w:t>
        <w:br/>
        <w:t>This can be a non-trivial task, for example as with parallel processes or some unusual software bugs.</w:t>
        <w:br/>
        <w:t>It is usually easier to code in "high-level" languages than in "low-level" ones.</w:t>
        <w:br/>
        <w:t>Provided the functions in a library follow the appropriate run-time conventions (e.g., method of passing arguments), then these functions may be written in any other language.</w:t>
        <w:br/>
        <w:t>He gave the first description of cryptanalysis by frequency analysis, the earliest code-breaking algorithm.</w:t>
        <w:br/>
        <w:t>Some text editors such as Emacs allow GDB to be invoked through them, to provide a visual environment.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