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Compiling takes the source code from a low-level programming language and converts it into machine code.</w:t>
        <w:br/>
        <w:t>Proficient programming thus usually requires expertise in several different subjects, including knowledge of the application domain, specialized algorithms, and formal logic.</w:t>
        <w:b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br/>
        <w:t>Integrated development environments (IDEs) aim to integrate all such help.</w:t>
        <w:br/>
        <w:t>One approach popular for requirements analysis is Use Case analysis.</w:t>
        <w:br/>
        <w:t>To produce machine code, the source code must either be compiled or transpiled.</w:t>
        <w:br/>
        <w:t>Unreadable code often leads to bugs, inefficiencies, and duplicated code.</w:t>
        <w:br/>
        <w:t>For example, when a bug in a compiler can make it crash when parsing some large source file, a simplification of the test case that results in only few lines from the original source file can be sufficient to reproduce the same crash.</w:t>
        <w:br/>
        <w:t>Techniques like Code refactoring can enhance readability.</w:t>
        <w:br/>
        <w:t>As early as the 9th century, a programmable music sequencer was invented by the Persian Banu Musa brothers, who described an automated mechanical flute player in the Book of Ingenious Devices.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example, COBOL is still strong in corporate data centers often on large mainframe computers, Fortran in engineering applications, scripting languages in Web development, and C in embedded software.</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