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The choice of language used is subject to many considerations, such as company policy, suitability to task, availability of third-party packages, or individual preference.</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This is interpreted into machine code.</w:t>
        <w:br/>
        <w:t>Transpiling on the other hand, takes the source-code from a high-level programming language and converts it into bytecode.</w:t>
        <w:br/>
        <w:t>He gave the first description of cryptanalysis by frequency analysis, the earliest code-breaking algorithm.</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