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This is interpreted into machine code.</w:t>
        <w:br/>
        <w:t>He gave the first description of cryptanalysis by frequency analysis, the earliest code-breaking algorithm.</w:t>
        <w:br/>
        <w:t>However, readability is more than just programming style.</w:t>
        <w:br/>
        <w:t>Use of a static code analysis tool can help detect some possible problems.</w:t>
        <w:br/>
        <w:t>The choice of language used is subject to many considerations, such as company policy, suitability to task, availability of third-party packages, or individual preference.</w:t>
        <w:br/>
        <w:t>The source code of a program is written in one or more languages that are intelligible to programmers, rather than machine code, which is directly executed by the central processing unit.</w:t>
        <w:br/>
        <w:t>Techniques like Code refactoring can enhance readability.</w:t>
        <w:br/>
        <w:t>By the late 1960s, data storage devices and computer terminals became inexpensive enough that programs could be created by typing directly into the computers.</w:t>
        <w:br/>
        <w:br/>
        <w:t>The first compiler related tool, the A-0 System, was developed in 1952 by Grace Hopper, who also coined the term 'compiler'.</w:t>
        <w:br/>
        <w:t>Programming languages are essential for software development.</w:t>
        <w:br/>
        <w:t>The Unified Modeling Language (UML) is a notation used for both the OOAD and MDA.</w:t>
        <w:br/>
        <w:t>Expert programmers are familiar with a variety of well-established algorithms and their respective complexities and use this knowledge to choose algorithms that are best suited to the circumstances.</w:t>
        <w:br/>
        <w:t>However, readability is more than just programming style.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