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He gave the first description of cryptanalysis by frequency analysis, the earliest code-breaking algorithm.</w:t>
        <w:br/>
        <w:t>Also, specific user environment and usage history can make it difficult to reproduce the problem.</w:t>
        <w:br/>
        <w:t>The Unified Modeling Language (UML) is a notation used for both the OOAD and MDA.</w:t>
        <w:br/>
        <w:t>They are the building blocks for all software, from the simplest applications to the most sophisticated ones.</w:t>
        <w:br/>
        <w:t>He gave the first description of cryptanalysis by frequency analysis, the earliest code-breaking algorithm.</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 xml:space="preserve"> Computer programmers are those who write computer software.</w:t>
        <w:br/>
        <w:t>Programming languages are essential for software development.</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