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There exist a lot of different approaches for each of those tasks.</w:t>
        <w:br/>
        <w:t>Trade-offs from this ideal involve finding enough programmers who know the language to build a team, the availability of compilers for that language, and the efficiency with which programs written in a given language execute.</w:t>
        <w:br/>
        <w:t>Unreadable code often leads to bugs, inefficiencies, and duplicated code.</w:t>
        <w:br/>
        <w:t>The choice of language used is subject to many considerations, such as company policy, suitability to task, availability of third-party packages, or individual preference.</w:t>
        <w:b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t>Compiling takes the source code from a low-level programming language and converts it into machine code.</w:t>
        <w:br/>
        <w:t>In the 9th century, the Arab mathematician Al-Kindi described a cryptographic algorithm for deciphering encrypted code, in A Manuscript on Deciphering Cryptographic Messages.</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In 1801, the Jacquard loom could produce entirely different weaves by changing the "program" – a series of pasteboard cards with holes punched in them.</w:t>
        <w:br/>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