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Use of a static code analysis tool can help detect some possible problems.</w:t>
        <w:br/>
        <w:t>Some text editors such as Emacs allow GDB to be invoked through them, to provide a visual environment.</w:t>
        <w:br/>
        <w:t>In the 9th century, the Arab mathematician Al-Kindi described a cryptographic algorithm for deciphering encrypted code, in A Manuscript on Deciphering Cryptographic Messages.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Charles Babbage had already written his first program for the Analytical Engine in 1837.</w:t>
        <w:br/>
        <w:t>For example, COBOL is still strong in corporate data centers often on large mainframe computers, Fortran in engineering applications, scripting languages in Web development, and C in embedded software.</w:t>
        <w:br/>
        <w:t>Proficient programming thus usually requires expertise in several different subjects, including knowledge of the application domain, specialized algorithms, and formal logic.</w:t>
        <w:br/>
        <w:t>Compiling takes the source code from a low-level programming language and converts it into machine code.</w:t>
        <w:br/>
        <w:t>However, because an assembly language is little more than a different notation for a machine language,  two machines with different instruction sets also have different assembly languages.</w:t>
        <w:br/>
        <w:t>However, readability is more than just programming style.</w:t>
        <w:br/>
        <w:t>Text editors were also developed that allowed changes and corrections to be made much more easily than with punched cards.</w:t>
        <w:br/>
        <w:br/>
        <w:t>The first compiler related tool, the A-0 System, was developed in 1952 by Grace Hopper, who also coined the term 'compiler'.</w:t>
        <w:br/>
        <w:t xml:space="preserve"> After the bug is reproduced, the input of the program may need to be simplified to make it easier to debug.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