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Also, specific user environment and usage history can make it difficult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Some text editors such as Emacs allow GDB to be invoked through them, to provide a visual environment.</w:t>
        <w:br/>
        <w:t>He gave the first description of cryptanalysis by frequency analysis, the earliest code-breaking algorithm.</w:t>
        <w:br/>
        <w:t>Proficient programming thus usually requires expertise in several different subjects, including knowledge of the application domain, specialized algorithms, and formal logic.</w:t>
        <w:br/>
        <w:t>This can be a non-trivial task, for example as with parallel processes or some unusual software bugs.</w:t>
        <w:br/>
        <w:t>In 1801, the Jacquard loom could produce entirely different weaves by changing the "program" – a series of pasteboard cards with holes punched in them.</w:t>
        <w:br/>
        <w:t>It affects the aspects of quality above, including portability, usability and most importantly maintainability.</w:t>
        <w:br/>
        <w:t>Proficient programming thus usually requires expertise in several different subjects, including knowledge of the application domain, specialized algorithms, and formal logic.</w:t>
        <w:br/>
        <w:t>In the 9th century, the Arab mathematician Al-Kindi described a cryptographic algorithm for deciphering encrypted code, in A Manuscript on Deciphering Cryptographic Messages.</w:t>
        <w:br/>
        <w:t>There exist a lot of different approaches for each of those tasks.</w:t>
        <w:br/>
        <w:t>By the late 1960s, data storage devices and computer terminals became inexpensive enough that programs could be created by typing directly into the computers.</w:t>
        <w:br/>
        <w:t>In 1801, the Jacquard loom could produce entirely different weaves by changing the "program" – a series of pasteboard cards with holes punched in them.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