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In the 9th century, the Arab mathematician Al-Kindi described a cryptographic algorithm for deciphering encrypted code, in A Manuscript on Deciphering Cryptographic Messages.</w:t>
        <w:br/>
        <w:t>However, Charles Babbage had already written his first program for the Analytical Engine in 1837.</w:t>
        <w:br/>
        <w:t>Relatedly, software engineering combines engineering techniques and principles with software development.</w:t>
        <w:br/>
        <w:t>Transpiling on the other hand, takes the source-code from a high-level programming language and converts it into bytecode.</w:t>
        <w:br/>
        <w:t>Languages form an approximate spectrum from "low-level" to "high-level"; "low-level" languages are typically more machine-oriented and faster to execute, whereas "high-level" languages are more abstract and easier to use but execute less quickly.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Following a consistent programming style often helps readability.</w:t>
        <w:br/>
        <w:t xml:space="preserve"> Following a consistent programming style often helps readability.</w:t>
        <w:br/>
        <w:t xml:space="preserve"> Tasks accompanying and related to programming include testing, debugging, source code maintenance, implementation of build systems, and management of derived artifacts, such as the machine code of computer programs.</w:t>
        <w:br/>
        <w:t>Some languages are more prone to some kinds of faults because their specification does not require compilers to perform as much checking as other languages.</w:t>
        <w:br/>
        <w:t xml:space="preserve"> Programmable devices have existed for centuries.</w:t>
        <w:br/>
        <w:t>One approach popular for requirements analysis is Use Case analysis.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