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Techniques like Code refactoring can enhance readability.</w:t>
        <w:br/>
        <w:t>Trade-offs from this ideal involve finding enough programmers who know the language to build a team, the availability of compilers for that language, and the efficiency with which programs written in a given language execute.</w:t>
        <w:br/>
        <w:t>One approach popular for requirements analysis is Use Case analysis.</w:t>
        <w:br/>
        <w:t>Some languages are more prone to some kinds of faults because their specification does not require compilers to perform as much checking as other languages.</w:t>
        <w:br/>
        <w:t>The Unified Modeling Language (UML) is a notation used for both the OOAD and MDA.</w:t>
        <w:b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FORTRAN, the first widely used high-level language to have a functional implementation, came out in 1957, and many other languages were soon developed—in particular, COBOL aimed at commercial data processing, and Lisp for computer research.</w:t>
        <w:br/>
        <w:t>As early as the 9th century, a programmable music sequencer was invented by the Persian Banu Musa brothers, who described an automated mechanical flute player in the Book of Ingenious Devices.</w:t>
        <w:br/>
        <w:t>For example, COBOL is still strong in corporate data centers often on large mainframe computers, Fortran in engineering applications, scripting languages in Web development, and C in embedded software.</w:t>
        <w:br/>
        <w:t>Some languages are more prone to some kinds of faults because their specification does not require compilers to perform as much checking as other languages.</w:t>
        <w:br/>
        <w:t>Unreadable code often leads to bugs, inefficiencies, and duplicated code.</w:t>
        <w:br/>
        <w:t>This can be a non-trivial task, for example as with parallel processes or some unusual software bugs.</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