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As early as the 9th century, a programmable music sequencer was invented by the Persian Banu Musa brothers, who described an automated mechanical flute player in the Book of Ingenious Devices.</w:t>
        <w:br/>
        <w:t>Normally the first step in debugging is to attempt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Proficient programming thus usually requires expertise in several different subjects, including knowledge of the application domain, specialized algorithms, and formal logic.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text editors such as Emacs allow GDB to be invoked through them, to provide a visual environment.</w:t>
        <w:br/>
        <w:t xml:space="preserve"> Following a consistent programming style often helps readability.</w:t>
        <w:br/>
        <w:t>Also, specific user environment and usage history can make it difficult to reproduce the problem.</w:t>
        <w:br/>
        <w:t>Unreadable code often leads to bugs, inefficiencies, and duplicated code.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