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Scripting and breakpointing is also part of this process.</w:t>
        <w:br/>
        <w:t>The choice of language used is subject to many considerations, such as company policy, suitability to task, availability of third-party packages, or individual preference.</w:t>
        <w:br/>
        <w:t>Provided the functions in a library follow the appropriate run-time conventions (e.g., method of passing arguments), then these functions may be written in any other language.</w:t>
        <w:br/>
        <w:t>Programming languages are essential for software development.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Use of a static code analysis tool can help detect some possible problems.</w:t>
        <w:br/>
        <w:t>It is usually easier to code in "high-level" languages than in "low-level" ones.</w:t>
        <w:br/>
        <w:t>The source code of a program is written in one or more languages that are intelligible to programmers, rather than machine code, which is directly executed by the central processing unit.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The Unified Modeling Language (UML) is a notation used for both the OOAD and MDA.</w:t>
        <w:br/>
        <w:t xml:space="preserve"> A similar technique used for database design is Entity-Relationship Modeling (ER Modeling).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 xml:space="preserve"> Allen Downey, in his book How To Think Like A Computer Scientist, writes:</w:t>
        <w:br/>
        <w:t xml:space="preserve"> Many computer languages provide a mechanism to call functions provided by shared libraries.</w:t>
        <w:br/>
        <w:t>Integrated development environments (IDEs) aim to integrate all such help.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