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This is interpreted into machine code.</w:t>
        <w:br/>
        <w:t>In 1206, the Arab engineer Al-Jazari invented a programmable drum machine where a musical mechanical automaton could be made to play different rhythms and drum patterns, via pegs and cams.</w:t>
        <w:br/>
        <w:t>Unreadable code often leads to bugs, inefficiencies, and duplicated code.</w:t>
        <w:br/>
        <w:t>Provided the functions in a library follow the appropriate run-time conventions (e.g., method of passing arguments), then these functions may be written in any other language.</w:t>
        <w:br/>
        <w:t>Some text editors such as Emacs allow GDB to be invoked through them, to provide a visual environment.</w:t>
        <w:br/>
        <w:t>They are the building blocks for all software, from the simplest applications to the most sophisticated ones.</w:t>
        <w:br/>
        <w:t>Compiling takes the source code from a low-level programming language and converts it into machine code.</w:t>
        <w:br/>
        <w:t>There are many approaches to the Software development process.</w:t>
        <w:br/>
        <w:t>For this purpose, algorithms are classified into orders using so-called Big O notation, which expresses resource use, such as execution time or memory consumption, in terms of the size of an input.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In the 1880s, Herman Hollerith invented the concept of storing data in machine-readable form.</w:t>
        <w:br/>
        <w:t>A study found that a few simple readability transformations made code shorter and drastically reduced the time to understand it.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