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Languages form an approximate spectrum from "low-level" to "high-level"; "low-level" languages are typically more machine-oriented and faster to execute, whereas "high-level" languages are more abstract and easier to use but execute less quickly.</w:t>
        <w:br/>
        <w:t>Some languages are more prone to some kinds of faults because their specification does not require compilers to perform as much checking as other languages.</w:t>
        <w:br/>
        <w:t>Trade-offs from this ideal involve finding enough programmers who know the language to build a team, the availability of compilers for that language, and the efficiency with which programs written in a given language execute.</w:t>
        <w:br/>
        <w:t>However, Charles Babbage had already written his first program for the Analytical Engine in 1837.</w:t>
        <w:br/>
        <w:t>When debugging the problem in a GUI, the programmer can try to skip some user interaction from the original problem description and check if remaining actions are sufficient for bugs to appear.</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br/>
        <w:br/>
        <w:t>Languages form an approximate spectrum from "low-level" to "high-level"; "low-level" languages are typically more machine-oriented and faster to execute, whereas "high-level" languages are more abstract and easier to use but execute less quickly.</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