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Also, specific user environment and usage history can make it difficult to reproduce the problem.</w:t>
        <w:br/>
        <w:t>Also, specific user environment and usage history can make it difficult to reproduce the problem.</w:t>
        <w:br/>
        <w:t>Compilers harnessed the power of computers to make programming easier by allowing programmers to specify calculations by entering a formula using infix notation.</w:t>
        <w:br/>
        <w:t>For example, when a bug in a compiler can make it crash when parsing some large source file, a simplification of the test case that results in only few lines from the original source file can be sufficient to reproduce the same crash.</w:t>
        <w:br/>
        <w:t>However, with the concept of the stored-program computer introduced in 1949, both programs and data were stored and manipulated in the same way in computer memory.</w:t>
        <w:br/>
        <w:t>Compilers harnessed the power of computers to make programming easier by allowing programmers to specify calculations by entering a formula using infix notation.</w:t>
        <w:br/>
        <w:t xml:space="preserve"> Readability is important because programmers spend the majority of their time reading, trying to understand, reusing and modifying existing source code, rather than writing new source code.</w:t>
        <w:br/>
        <w:t>Relatedly, software engineering combines engineering techniques and principles with software development.</w:t>
        <w:br/>
        <w:t>He gave the first description of cryptanalysis by frequency analysis, the earliest code-breaking algorithm.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