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This can be a non-trivial task, for example as with parallel processes or some unusual software bugs.</w:t>
        <w:br/>
        <w:t>The Unified Modeling Language (UML) is a notation used for both the OOAD and MDA.</w:t>
        <w:br/>
        <w:t>Also, specific user environment and usage history can make it difficult to reproduce the problem.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It affects the aspects of quality above, including portability, usability and most importantly maintainability.</w:t>
        <w:br/>
        <w:t>Also, specific user environment and usage history can make it difficult to reproduce the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 example, COBOL is still strong in corporate data centers often on large mainframe computers, Fortran in engineering applications, scripting languages in Web development, and C in embedded software.</w:t>
        <w:br/>
        <w:t>Unreadable code often leads to bugs, inefficiencies, and duplicated code.</w:t>
        <w:br/>
        <w:t>A study found that a few simple readability transformations made code shorter and drastically reduced the time to understand it.</w:t>
        <w:br/>
        <w:t>Provided the functions in a library follow the appropriate run-time conventions (e.g., method of passing arguments), then these functions may be written in any other language.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