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This is interpreted into machine code.</w:t>
        <w:br/>
        <w:t>However, with the concept of the stored-program computer introduced in 1949, both programs and data were stored and manipulated in the same way in computer memory.</w:t>
        <w:br/>
        <w:t>The choice of language used is subject to many considerations, such as company policy, suitability to task, availability of third-party packages, or individual preference.</w:t>
        <w:br/>
        <w:t>The source code of a program is written in one or more languages that are intelligible to programmers, rather than machine code, which is directly executed by the central processing unit.</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br/>
        <w:t>This is interpreted into machine code.</w:t>
        <w:br/>
        <w:t>Many applications use a mix of several languages in their construction and use.</w:t>
        <w:br/>
        <w:t>Compilers harnessed the power of computers to make programming easier by allowing programmers to specify calculations by entering a formula using infix notation.</w:t>
        <w:br/>
        <w:t xml:space="preserve"> The first computer program is generally dated to 1843, when mathematician Ada Lovelace published an algorithm to calculate a sequence of Bernoulli numbers, intended to be carried out by Charles Babbage's Analytical Engine.</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