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Proficient programming thus usually requires expertise in several different subjects, including knowledge of the application domain, specialized algorithms, and formal logic.</w:t>
        <w:br/>
        <w:t>Transpiling on the other hand, takes the source-code from a high-level programming language and converts it into bytecode.</w:t>
        <w:br/>
        <w:t>Languages form an approximate spectrum from "low-level" to "high-level"; "low-level" languages are typically more machine-oriented and faster to execute, whereas "high-level" languages are more abstract and easier to use but execute less quickly.</w:t>
        <w:br/>
        <w:t>For example, COBOL is still strong in corporate data centers often on large mainframe computers, Fortran in engineering applications, scripting languages in Web development, and C in embedded software.</w:t>
        <w:br/>
        <w:t>Unreadable code often leads to bugs, inefficiencies, and duplicated code.</w:t>
        <w:br/>
        <w:t>For example, COBOL is still strong in corporate data centers often on large mainframe computers, Fortran in engineering applications, scripting languages in Web development, and C in embedded software.</w:t>
        <w:br/>
        <w:t>Some languages are more prone to some kinds of faults because their specification does not require compilers to perform as much checking as other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However, readability is more than just programming style.</w:t>
        <w:br/>
        <w:t>He gave the first description of cryptanalysis by frequency analysis, the earliest code-breaking algorithm.</w:t>
        <w:br/>
        <w:t>Transpiling on the other hand, takes the source-code from a high-level programming language and converts it into bytecode.</w:t>
        <w:br/>
        <w:t xml:space="preserve"> Popular modeling techniques include Object-Oriented Analysis and Design (OOAD) and Model-Driven Architecture (MDA).</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