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Transpiling on the other hand, takes the source-code from a high-level programming language and converts it into bytecode.</w:t>
        <w:br/>
        <w:t>Some text editors such as Emacs allow GDB to be invoked through them, to provide a visual environment.</w:t>
        <w:br/>
        <w:t>Transpiling on the other hand, takes the source-code from a high-level programming language and converts it into bytecode.</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This is interpreted into machine code.</w:t>
        <w:br/>
        <w:t xml:space="preserve"> In the 1880s, Herman Hollerith invented the concept of storing data in machine-readable form.</w:t>
        <w:br/>
        <w:t xml:space="preserve"> Machine code was the language of early programs, written in the instruction set of the particular machine, often in binary notation.</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