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A study found that a few simple readability transformations made code shorter and drastically reduced the time to understand it.</w:t>
        <w:br/>
        <w:t>To produce machine code, the source code must either be compiled or transpiled.</w:t>
        <w:br/>
        <w:t>Use of a static code analysis tool can help detect some possible problems.</w:t>
        <w:br/>
        <w:t>To produce machine code, the source code must either be compiled or transpiled.</w:t>
        <w:br/>
        <w:t>Many factors, having little or nothing to do with the ability of the computer to efficiently compile and execute the code, contribute to readability.</w:t>
        <w:br/>
        <w:t>In the 9th century, the Arab mathematician Al-Kindi described a cryptographic algorithm for deciphering encrypted code, in A Manuscript on Deciphering Cryptographic Messages.</w:t>
        <w:br/>
        <w:t>Unreadable code often leads to bugs, inefficiencies, and duplicated code.</w:t>
        <w:br/>
        <w:t>Compiling takes the source code from a low-level programming language and converts it into machine code.</w:t>
        <w:br/>
        <w:t>Integrated development environments (IDEs) aim to integrate all such help.</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He gave the first description of cryptanalysis by frequency analysis, the earliest code-breaking algorithm.</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