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He gave the first description of cryptanalysis by frequency analysis, the earliest code-breaking algorithm.</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Some text editors such as Emacs allow GDB to be invoked through them, to provide a visual environment.</w:t>
        <w:br/>
        <w:t>Also, those involved with software development may at times engage in reverse engineering, which is the practice of seeking to understand an existing program so as to re-implement its function in some way.</w:t>
        <w:br/>
        <w:t>However, readability is more than just programming style.</w:t>
        <w:br/>
        <w:t>Compilers harnessed the power of computers to make programming easier by allowing programmers to specify calculations by entering a formula using infix notation.</w:t>
        <w:br/>
        <w:t>There exist a lot of different approaches for each of those tasks.</w:t>
        <w:br/>
        <w:t xml:space="preserve"> In the 1880s, Herman Hollerith invented the concept of storing data in machine-readable form.</w:t>
        <w:br/>
        <w:t>Also, those involved with software development may at times engage in reverse engineering, which is the practice of seeking to understand an existing program so as to re-implement its function in some way.</w:t>
        <w:br/>
        <w:t>In the 9th century, the Arab mathematician Al-Kindi described a cryptographic algorithm for deciphering encrypted code, in A Manuscript on Deciphering Cryptographic Messages.</w:t>
        <w:br/>
        <w:t>Ideally, the programming language best suited for the task at hand will be selected.</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