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One approach popular for requirements analysis is Use Case analysis.</w:t>
        <w:br/>
        <w:t>As early as the 9th century, a programmable music sequencer was invented by the Persian Banu Musa brothers, who described an automated mechanical flute player in the Book of Ingenious Devices.</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Compilers harnessed the power of computers to make programming easier by allowing programmers to specify calculations by entering a formula using infix notation.</w:t>
        <w:br/>
        <w:t>They are the building blocks for all software, from the simplest applications to the most sophisticated ones.</w:t>
        <w:br/>
        <w:t>Scripting and breakpointing is also part of this process.</w:t>
        <w:b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