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Normally the first step in debugging is to attempt to reproduce the problem.</w:t>
        <w:br/>
        <w:t>In 1801, the Jacquard loom could produce entirely different weaves by changing the "program" – a series of pasteboard cards with holes punched in them.</w:t>
        <w:br/>
        <w:t>Some text editors such as Emacs allow GDB to be invoked through them, to provide a visual environment.</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 xml:space="preserve"> In the 1880s, Herman Hollerith invented the concept of storing data in machine-readable form.</w:t>
        <w:br/>
        <w:t>The following properties are among the most important:</w:t>
        <w:br/>
        <w:br/>
        <w:t xml:space="preserve"> In computer programming, readability refers to the ease with which a human reader can comprehend the purpose, control flow, and operation of source code.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