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They are the building blocks for all software, from the simplest applications to the most sophisticated ones.</w:t>
        <w:br/>
        <w:t>Also, specific user environment and usage history can make it difficult to reproduce the problem.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choice of language used is subject to many considerations, such as company policy, suitability to task, availability of third-party packages, or individual preference.</w:t>
        <w:br/>
        <w:t>It affects the aspects of quality above, including portability, usability and most importantly maintainability.</w:t>
        <w:br/>
        <w:t>Many applications use a mix of several languages in their construction and use.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Transpiling on the other hand, takes the source-code from a high-level programming language and converts it into bytecode.</w:t>
        <w:br/>
        <w:t>Compiling takes the source code from a low-level programming language and converts it into machine code.</w:t>
        <w:br/>
        <w:t>This can be a non-trivial task, for example as with parallel processes or some unusual software bugs.</w:t>
        <w:br/>
        <w:t>The Unified Modeling Language (UML) is a notation used for both the OOAD and MDA.</w:t>
        <w:br/>
        <w:t>Some of these factors include:</w:t>
        <w:br/>
        <w:t xml:space="preserve"> The presentation aspects of this (such as indents, line breaks, color highlighting, and so on) are often handled by the source code editor, but the content aspects reflect the programmer's talent and skills.</w:t>
        <w:br/>
        <w:t>Techniques like Code refactoring can enhance readability.</w:t>
        <w:br/>
        <w:t>For example, COBOL is still strong in corporate data centers often on large mainframe computers, Fortran in engineering applications, scripting languages in Web development, and C in embedded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