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In 1801, the Jacquard loom could produce entirely different weaves by changing the "program" – a series of pasteboard cards with holes punched in them.</w:t>
        <w:br/>
        <w:t>However, Charles Babbage had already written his first program for the Analytical Engine in 1837.</w:t>
        <w:b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Implementation techniques include imperative languages (object-oriented or procedural), functional languages, and logic languages.</w:t>
        <w:br/>
        <w:t xml:space="preserve"> Some languages are very popular for particular kinds of applications, while some languages are regularly used to write many different kinds of applications.</w:t>
        <w:br/>
        <w:t>For example, COBOL is still strong in corporate data centers often on large mainframe computers, Fortran in engineering applications, scripting languages in Web development, and C in embedded software.</w:t>
        <w:br/>
        <w:t xml:space="preserve"> Popular modeling techniques include Object-Oriented Analysis and Design (OOAD) and Model-Driven Architecture (MDA).</w:t>
        <w:br/>
        <w:t xml:space="preserve"> Whatever the approach to development may be, the final program must satisfy some fundamental properties.</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