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However, readability is more than just programming style.</w:t>
        <w:br/>
        <w:t>Provided the functions in a library follow the appropriate run-time conventions (e.g., method of passing arguments), then these functions may be written in any other language.</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Provided the functions in a library follow the appropriate run-time conventions (e.g., method of passing arguments), then these functions may be written in any other language.</w:t>
        <w:br/>
        <w:t>The choice of language used is subject to many considerations, such as company policy, suitability to task, availability of third-party packages, or individual preference.</w:t>
        <w:br/>
        <w:t>Provided the functions in a library follow the appropriate run-time conventions (e.g., method of passing arguments), then these functions may be written in any other language.</w:t>
        <w:br/>
        <w:t>Expert programmers are familiar with a variety of well-established algorithms and their respective complexities and use this knowledge to choose algorithms that are best suited to the circumstances.</w:t>
        <w:br/>
        <w:t>Assembly languages were soon developed that let the programmer specify instruction in a text format (e.g., ADD X, TOTAL), with abbreviations for each operation code and meaningful names for specifying addresses.</w:t>
        <w:br/>
        <w:t xml:space="preserve"> Debugging is often done with IDEs. Standalone debuggers like GDB are also used, and these often provide less of a visual environment, usually using a command line.</w:t>
        <w:br/>
        <w:t xml:space="preserve"> Computer programmers are those who write computer software.</w:t>
        <w:br/>
        <w:t>However, readability is more than just programming style.</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