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Some text editors such as Emacs allow GDB to be invoked through them, to provide a visual environment.</w:t>
        <w:br/>
        <w:t>It is usually easier to code in "high-level" languages than in "low-level" ones.</w:t>
        <w:br/>
        <w:t>Ideally, the programming language best suited for the task at hand will be selected.</w:t>
        <w:br/>
        <w:t>To produce machine code, the source code must either be compiled or transpiled.</w:t>
        <w:br/>
        <w:t>Expert programmers are familiar with a variety of well-established algorithms and their respective complexities and use this knowledge to choose algorithms that are best suited to the circumstances.</w:t>
        <w:br/>
        <w:t>The Unified Modeling Language (UML) is a notation used for both the OOAD and MDA.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Trial-and-error/divide-and-conquer is needed: the programmer will try to remove some parts of the original test case and check if the problem still exists.</w:t>
        <w:br/>
        <w:t>Programming languages are essential for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Different programming languages support different styles of programming (called programming paradigms).</w:t>
        <w:br/>
        <w:t xml:space="preserve"> Following a consistent programming style often helps readability.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