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Normally the first step in debugging is to attempt to reproduce the problem.</w:t>
        <w:br/>
        <w:t>Some languages are more prone to some kinds of faults because their specification does not require compilers to perform as much checking as other languages.</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