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Many factors, having little or nothing to do with the ability of the computer to efficiently compile and execute the code, contribute to readability.</w:t>
        <w:br/>
        <w:t>Some text editors such as Emacs allow GDB to be invoked through them, to provide a visual environment.</w:t>
        <w:br/>
        <w:t>Also, specific user environment and usage history can make it difficult to reproduce the problem.</w:t>
        <w:br/>
        <w:t>Scripting and breakpointing is also part of this process.</w:t>
        <w:br/>
        <w:t>The choice of language used is subject to many considerations, such as company policy, suitability to task, availability of third-party packages, or individual preference.</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Many applications use a mix of several languages in their construction and use.</w:t>
        <w:br/>
        <w:br/>
        <w:t>The first compiler related tool, the A-0 System, was developed in 1952 by Grace Hopper, who also coined the term 'compiler'.</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