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Normally the first step in debugging is to attempt to reproduce the problem.</w:t>
        <w:br/>
        <w:t>They are the building blocks for all software, from the simplest applications to the most sophisticated ones.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However, readability is more than just programming style.</w:t>
        <w:br/>
        <w:t>Programming languages are essential for software development.</w:t>
        <w:br/>
        <w:t>There exist a lot of different approaches for each of those tasks.</w:t>
        <w:br/>
        <w:t>However, Charles Babbage had already written his first program for the Analytical Engine in 1837.</w:t>
        <w:br/>
        <w:t>The Unified Modeling Language (UML) is a notation used for both the OOAD and MDA.</w:t>
        <w:br/>
        <w:t>However, because an assembly language is little more than a different notation for a machine language,  two machines with different instruction sets also have different assembly languages.</w:t>
        <w:br/>
        <w:t>Use of a static code analysis tool can help detect some possible problems.</w:t>
        <w:br/>
        <w:t>However, with the concept of the stored-program computer introduced in 1949, both programs and data were stored and manipulated in the same way in computer memory.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 following properties are among the most important:</w:t>
        <w:br/>
        <w:br/>
        <w:t xml:space="preserve"> In computer programming, readability refers to the ease with which a human reader can comprehend the purpose, control flow, and operation of source code.</w:t>
        <w:br/>
        <w:t>Relatedly, software engineering combines engineering techniques and principles with software development.</w:t>
        <w:br/>
        <w:t>Text editors were also developed that allowed changes and corrections to be made much more easily than with punched cards.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