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Transpiling on the other hand, takes the source-code from a high-level programming language and converts it into bytecode.</w:t>
        <w:br/>
        <w:t>This is interpreted into machine code.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For this purpose, algorithms are classified into orders using so-called Big O notation, which expresses resource use, such as execution time or memory consumption, in terms of the size of an input.</w:t>
        <w:br/>
        <w:t>It affects the aspects of quality above, including portability, usability and most importantly maintainability.</w:t>
        <w:br/>
        <w:t>Trial-and-error/divide-and-conquer is needed: the programmer will try to remove some parts of the original test case and check if the problem still exists.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However, readability is more than just programming style.</w:t>
        <w:br/>
        <w:t>Transpiling on the other hand, takes the source-code from a high-level programming language and converts it into bytecode.</w:t>
        <w:br/>
        <w:t>However, Charles Babbage had already written his first program for the Analytical Engine in 1837.</w:t>
        <w:br/>
        <w:t xml:space="preserve"> Popular modeling techniques include Object-Oriented Analysis and Design (OOAD) and Model-Driven Architecture (MDA).</w:t>
        <w:br/>
        <w:t>Relatedly, software engineering combines engineering techniques and principles with software development.</w:t>
        <w:br/>
        <w:t>Some text editors such as Emacs allow GDB to be invoked through them, to provide a visual environment.</w:t>
        <w:br/>
        <w:br/>
        <w:t xml:space="preserve"> Computer programming is the process of performing particular computations (or more generally, accomplishing specific computing results), usually by designing and building executable computer programs.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