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However, because an assembly language is little more than a different notation for a machine language,  two machines with different instruction sets also have different assembly languages.</w:t>
        <w:br/>
        <w:t>To produce machine code, the source code must either be compiled or transpiled.</w:t>
        <w:br/>
        <w:t>Many factors, having little or nothing to do with the ability of the computer to efficiently compile and execute the code, contribute to readability.</w:t>
        <w:br/>
        <w:t>Some languages are more prone to some kinds of faults because their specification does not require compilers to perform as much checking as other languages.</w:t>
        <w:br/>
        <w:t>However, readability is more than just programming style.</w:t>
        <w:br/>
        <w:t>Many factors, having little or nothing to do with the ability of the computer to efficiently compile and execute the code, contribute to readability.</w:t>
        <w:br/>
        <w:t>It affects the aspects of quality above, including portability, usability and most importantly maintainability.</w:t>
        <w:br/>
        <w:t>However, with the concept of the stored-program computer introduced in 1949, both programs and data were stored and manipulated in the same way in computer memory.</w:t>
        <w:br/>
        <w:t xml:space="preserve"> A similar technique used for database design is Entity-Relationship Modeling (ER Modeling).</w:t>
        <w:br/>
        <w:t>Programming languages are essential for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It is very difficult to determine what are the most popular modern programming languages.</w:t>
        <w:br/>
        <w:t>By the late 1960s, data storage devices and computer terminals became inexpensive enough that programs could be created by typing directly into the computers.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