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 gave the first description of cryptanalysis by frequency analysis, the earliest code-breaking algorithm.</w:t>
        <w:br/>
        <w:t>It is usually easier to code in "high-level" languages than in "low-level" ones.</w:t>
        <w:br/>
        <w:t>Also, those involved with software development may at times engage in reverse engineering, which is the practice of seeking to understand an existing program so as to re-implement its function in some way.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Some text editors such as Emacs allow GDB to be invoked through them, to provide a visual environment.</w:t>
        <w:br/>
        <w:t>Compiling takes the source code from a low-level programming language and converts it into machine code.</w:t>
        <w:br/>
        <w:t>However, Charles Babbage had already written his first program for the Analytical Engine in 1837.</w:t>
        <w:br/>
        <w:t>Ideally, the programming language best suited for the task at hand will be selected.</w:t>
        <w:br/>
        <w:t>As early as the 9th century, a programmable music sequencer was invented by the Persian Banu Musa brothers, who described an automated mechanical flute player in the Book of Ingenious Devices.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 xml:space="preserve"> Programmable devices have existed for centuries.</w:t>
        <w:br/>
        <w:t xml:space="preserve"> Some languages are very popular for particular kinds of applications, while some languages are regularly used to write many different kinds of applications.</w:t>
        <w:br/>
        <w:t>Integrated development environments (IDEs) aim to integrate all such help.</w:t>
        <w:br/>
        <w:br/>
        <w:t xml:space="preserve"> Computer programming is the process of performing particular computations (or more generally, accomplishing specific computing results), usually by designing and building executable computer programs.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