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Many applications use a mix of several languages in their construction and use.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Scripting and breakpointing is also part of this process.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 xml:space="preserve"> Tasks accompanying and related to programming include testing, debugging, source code maintenance, implementation of build systems, and management of derived artifacts, such as the machine code of computer programs.</w:t>
        <w:br/>
        <w:t>Ideally, the programming language best suited for the task at hand will be selected.</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