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In 1206, the Arab engineer Al-Jazari invented a programmable drum machine where a musical mechanical automaton could be made to play different rhythms and drum patterns, via pegs and cams.</w:t>
        <w:br/>
        <w:t>However, because an assembly language is little more than a different notation for a machine language,  two machines with different instruction sets also have different assembly languages.</w:t>
        <w:br/>
        <w:t>Compilers harnessed the power of computers to make programming easier by allowing programmers to specify calculations by entering a formula using infix notation.</w:t>
        <w:br/>
        <w:t>When debugging the problem in a GUI, the programmer can try to skip some user interaction from the original problem description and check if remaining actions are sufficient for bugs to appear.</w:t>
        <w:br/>
        <w:t>Relatedly, software engineering combines engineering techniques and principles with software development.</w:t>
        <w:br/>
        <w:t>This can be a non-trivial task, for example as with parallel processes or some unusual software bugs.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 xml:space="preserve"> Programmable devices have existed for centuries.</w:t>
        <w:br/>
        <w:t>Also, specific user environment and usage history can make it difficult to reproduce the problem.</w:t>
        <w:br/>
        <w:t>Integrated development environments (IDEs) aim to integrate all such help.</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