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can be a non-trivial task, for example as with parallel processes or some unusual software bugs.</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Use of a static code analysis tool can help detect some possible problems.</w:t>
        <w:br/>
        <w:t>This can be a non-trivial task, for example as with parallel processes or some unusual software bugs.</w:t>
        <w:br/>
        <w:t>By the late 1960s, data storage devices and computer terminals became inexpensive enough that programs could be created by typing directly into the computers.</w:t>
        <w:br/>
        <w:t>However, because an assembly language is little more than a different notation for a machine language,  two machines with different instruction sets also have different assembly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 xml:space="preserve"> The first computer program is generally dated to 1843, when mathematician Ada Lovelace published an algorithm to calculate a sequence of Bernoulli numbers, intended to be carried out by Charles Babbage's Analytical Engine.</w:t>
        <w:br/>
        <w:t xml:space="preserve"> The academic field and the engineering practice of computer programming are both largely concerned with discovering and implementing the most efficient algorithms for a given class of problems.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