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source code of a program is written in one or more languages that are intelligible to programmers, rather than machine code, which is directly executed by the central processing unit.</w:t>
        <w:br/>
        <w:t>Techniques like Code refactoring can enhance readability.</w:t>
        <w:br/>
        <w:t>When debugging the problem in a GUI, the programmer can try to skip some user interaction from the original problem description and check if remaining actions are sufficient for bugs to appear.</w:t>
        <w:br/>
        <w:t>Also, specific user environment and usage history can make it difficult to reproduce the problem.</w:t>
        <w:br/>
        <w:t>Unreadable code often leads to bugs, inefficiencies, and duplicated code.</w:t>
        <w:br/>
        <w:t>Compilers harnessed the power of computers to make programming easier by allowing programmers to specify calculations by entering a formula using infix notation.</w:t>
        <w:br/>
        <w:t>In 1206, the Arab engineer Al-Jazari invented a programmable drum machine where a musical mechanical automaton could be made to play different rhythms and drum patterns, via pegs and cams.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Techniques like Code refactoring can enhance readability.</w:t>
        <w:br/>
        <w:t>This can be a non-trivial task, for example as with parallel processes or some unusual software bugs.</w:t>
        <w:br/>
        <w:t>Use of a static code analysis tool can help detect some possible problems.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Computer programmers are those who write computer software.</w:t>
        <w:br/>
        <w:t>To produce machine code, the source code must either be compiled or transpiled.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