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The choice of language used is subject to many considerations, such as company policy, suitability to task, availability of third-party packages, or individual preference.</w:t>
        <w:br/>
        <w:t>As early as the 9th century, a programmable music sequencer was invented by the Persian Banu Musa brothers, who described an automated mechanical flute player in the Book of Ingenious Devices.</w:t>
        <w:br/>
        <w:t>There exist a lot of different approaches for each of those tasks.</w:t>
        <w:br/>
        <w:t>Compiling takes the source code from a low-level programming language and converts it into machine code.</w:t>
        <w:br/>
        <w:t>This is interpreted into machine code.</w:t>
        <w:br/>
        <w:t>Proficient programming thus usually requires expertise in several different subjects, including knowledge of the application domain, specialized algorithms, and formal logic.</w:t>
        <w:br/>
        <w:t>Unreadable code often leads to bugs, inefficiencies, and duplicated code.</w:t>
        <w:br/>
        <w:t>They are the building blocks for all software, from the simplest applications to the most sophisticated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Provided the functions in a library follow the appropriate run-time conventions (e.g., method of passing arguments), then these functions may be written in any other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Programs were mostly entered using punched cards or paper tape.</w:t>
        <w:br/>
        <w:t>The choice of language used is subject to many considerations, such as company policy, suitability to task, availability of third-party packages, or individual preference.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