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Ideally, the programming language best suited for the task at hand will be selected.</w:t>
        <w:br/>
        <w:t>By the late 1960s, data storage devices and computer terminals became inexpensive enough that programs could be created by typing directly into the computers.</w:t>
        <w:br/>
        <w:t>Also, specific user environment and usage history can make it difficult to reproduce the problem.</w:t>
        <w:br/>
        <w:t>In 1206, the Arab engineer Al-Jazari invented a programmable drum machine where a musical mechanical automaton could be made to play different rhythms and drum patterns, via pegs and cams.</w:t>
        <w:br/>
        <w:t>Ideally, the programming language best suited for the task at hand will be selected.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applications use a mix of several languages in their construction and use.</w:t>
        <w:br/>
        <w:t xml:space="preserve"> Following a consistent programming style often helps readability.</w:t>
        <w:br/>
        <w:t>Proficient programming thus usually requires expertise in several different subjects, including knowledge of the application domain, specialized algorithms, and formal logic.</w:t>
        <w:br/>
        <w:t>Programming languages are essential for software development.</w:t>
        <w:br/>
        <w:t>To produce machine code, the source code must either be compiled or transpiled.</w:t>
        <w:br/>
        <w:t>By the late 1960s, data storage devices and computer terminals became inexpensive enough that programs could be created by typing directly into the computers.</w:t>
        <w:br/>
        <w:t>Programming languages are essential for software development.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