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Some text editors such as Emacs allow GDB to be invoked through them, to provide a visual environment.</w:t>
        <w:br/>
        <w:t>Many applications use a mix of several languages in their construction and use.</w:t>
        <w:br/>
        <w:t>However, readability is more than just programming style.</w:t>
        <w:br/>
        <w:t>He gave the first description of cryptanalysis by frequency analysis, the earliest code-breaking algorithm.</w:t>
        <w:br/>
        <w:t>Also, those involved with software development may at times engage in reverse engineering, which is the practice of seeking to understand an existing program so as to re-implement its function in some way.</w:t>
        <w:br/>
        <w:t>Unreadable code often leads to bugs, inefficiencies, and duplicated code.</w:t>
        <w:br/>
        <w:t xml:space="preserve"> After the bug is reproduced, the input of the program may need to be simplified to make it easier to debug.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Popular modeling techniques include Object-Oriented Analysis and Design (OOAD) and Model-Driven Architecture (MDA).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Integrated development environments (IDEs) aim to integrate all such help.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