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Scripting and breakpointing is also part of this process.</w:t>
        <w:br/>
        <w:t>This is interpreted into machine code.</w:t>
        <w:br/>
        <w:t>However, with the concept of the stored-program computer introduced in 1949, both programs and data were stored and manipulated in the same way in computer memory.</w:t>
        <w:br/>
        <w:t>It affects the aspects of quality above, including portability, usability and most importantly maintainability.</w:t>
        <w:br/>
        <w:t>As early as the 9th century, a programmable music sequencer was invented by the Persian Banu Musa brothers, who described an automated mechanical flute player in the Book of Ingenious Devices.</w:t>
        <w:br/>
        <w:t>However, because an assembly language is little more than a different notation for a machine language,  two machines with different instruction sets also have different assembly languages.</w:t>
        <w:br/>
        <w:t>Ideally, the programming language best suited for the task at hand will be selected.</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For example, when a bug in a compiler can make it crash when parsing some large source file, a simplification of the test case that results in only few lines from the original source file can be sufficient to reproduce the same crash.</w:t>
        <w:br/>
        <w:t>When debugging the problem in a GUI, the programmer can try to skip some user interaction from the original problem description and check if remaining actions are sufficient for bugs to appear.</w:t>
        <w:br/>
        <w:t>This can be a non-trivial task, for example as with parallel processes or some unusual software bugs.</w:t>
        <w:br/>
        <w:t xml:space="preserve"> A similar technique used for database design is Entity-Relationship Modeling (ER Modeling).</w:t>
        <w:br/>
        <w:t>Provided the functions in a library follow the appropriate run-time conventions (e.g., method of passing arguments), then these functions may be written in any other language.</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