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is interpreted into machine code.</w:t>
        <w:br/>
        <w:t>Compilers harnessed the power of computers to make programming easier by allowing programmers to specify calculations by entering a formula using infix notation.</w:t>
        <w:br/>
        <w:t>There are many approaches to the Software development process.</w:t>
        <w:br/>
        <w:t>Proficient programming thus usually requires expertise in several different subjects, including knowledge of the application domain, specialized algorithms, and formal logic.</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readability is more than just programming style.</w:t>
        <w:br/>
        <w:t>Some text editors such as Emacs allow GDB to be invoked through them, to provide a visual environment.</w:t>
        <w:br/>
        <w:t>Techniques like Code refactoring can enhance readability.</w:t>
        <w:br/>
        <w:t>One approach popular for requirements analysis is Use Case analysis.</w:t>
        <w:br/>
        <w:t xml:space="preserve"> Different programming languages support different styles of programming (called programming paradigms).</w:t>
        <w:br/>
        <w:t xml:space="preserve"> Readability is important because programmers spend the majority of their time reading, trying to understand, reusing and modifying existing source code, rather than writing new source code.</w:t>
        <w:br/>
        <w:br/>
        <w:t>The first compiler related tool, the A-0 System, was developed in 1952 by Grace Hopper, who also coined the term 'compiler'.</w:t>
        <w:br/>
        <w:t xml:space="preserve"> Following a consistent programming style often helps readability.</w:t>
        <w:br/>
        <w:t>Unreadable code often leads to bugs, inefficiencies, and duplicated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