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Also, specific user environment and usage history can make it difficult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Provided the functions in a library follow the appropriate run-time conventions (e.g., method of passing arguments), then these functions may be written in any other language.</w:t>
        <w:br/>
        <w:t>This can be a non-trivial task, for example as with parallel processes or some unusual software bugs.</w:t>
        <w:br/>
        <w:t>When debugging the problem in a GUI, the programmer can try to skip some user interaction from the original problem description and check if remaining actions are sufficient for bugs to appear.</w:t>
        <w:br/>
        <w:t>Many applications use a mix of several languages in their construction and use.</w:t>
        <w:br/>
        <w:t>Programming languages are essential for software development.</w:t>
        <w:br/>
        <w:t>In 1801, the Jacquard loom could produce entirely different weaves by changing the "program" – a series of pasteboard cards with holes punched in them.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In 1801, the Jacquard loom could produce entirely different weaves by changing the "program" – a series of pasteboard cards with holes punched in them.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