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Unreadable code often leads to bugs, inefficiencies, and duplicated code.</w:t>
        <w:br/>
        <w:t>Use of a static code analysis tool can help detect some possible problems.</w:t>
        <w:br/>
        <w:t>Expert programmers are familiar with a variety of well-established algorithms and their respective complexities and use this knowledge to choose algorithms that are best suited to the circumstances.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Compilers harnessed the power of computers to make programming easier by allowing programmers to specify calculations by entering a formula using infix notation.</w:t>
        <w:br/>
        <w:t>Compilers harnessed the power of computers to make programming easier by allowing programmers to specify calculations by entering a formula using infix notation.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Charles Babbage had already written his first program for the Analytical Engine in 1837.</w:t>
        <w:br/>
        <w:t xml:space="preserve"> Machine code was the language of early programs, written in the instruction set of the particular machine, often in binary notation.</w:t>
        <w:br/>
        <w:t>One approach popular for requirements analysis is Use Case analysis.</w:t>
        <w:br/>
        <w:t>They are the building blocks for all software, from the simplest applications to the most sophisticated ones.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Normally the first step in debugging is to attempt to reproduce the problem.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