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br/>
        <w:t>However, because an assembly language is little more than a different notation for a machine language,  two machines with different instruction sets also have different assembly languages.</w:t>
        <w:br/>
        <w:t>Compiling takes the source code from a low-level programming language and converts it into machine code.</w:t>
        <w:br/>
        <w:t>This can be a non-trivial task, for example as with parallel processes or some unusual software bugs.</w:t>
        <w:br/>
        <w:t>However, because an assembly language is little more than a different notation for a machine language,  two machines with different instruction sets also have different assembly languages.</w:t>
        <w:br/>
        <w:t>Trial-and-error/divide-and-conquer is needed: the programmer will try to remove some parts of the original test case and check if the problem still exists.</w:t>
        <w:br/>
        <w:t>Trade-offs from this ideal involve finding enough programmers who know the language to build a team, the availability of compilers for that language, and the efficiency with which programs written in a given language execute.</w:t>
        <w:br/>
        <w:t>The Unified Modeling Language (UML) is a notation used for both the OOAD and MDA.</w:t>
        <w:br/>
        <w:t>Some text editors such as Emacs allow GDB to be invoked through them, to provide a visual environment.</w:t>
        <w:br/>
        <w:t>Many factors, having little or nothing to do with the ability of the computer to efficiently compile and execute the code, contribute to readability.</w:t>
        <w:br/>
        <w:t>Proficient programming thus usually requires expertise in several different subjects, including knowledge of the application domain, specialized algorithms, and formal logic.</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